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A566D0" w:rsidP="00A566D0">
            <w:pPr>
              <w:rPr>
                <w:rStyle w:val="Firstpagetablebold"/>
                <w:rFonts w:cs="Arial"/>
                <w:color w:val="auto"/>
              </w:rPr>
            </w:pPr>
            <w:r>
              <w:rPr>
                <w:rStyle w:val="Firstpagetablebold"/>
                <w:rFonts w:cs="Arial"/>
                <w:color w:val="auto"/>
              </w:rPr>
              <w:t>Shareholder and Joint Venture Group</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632937" w:rsidP="00632937">
            <w:pPr>
              <w:rPr>
                <w:rFonts w:cs="Arial"/>
                <w:b/>
                <w:color w:val="auto"/>
              </w:rPr>
            </w:pPr>
            <w:r>
              <w:rPr>
                <w:rFonts w:cs="Arial"/>
                <w:b/>
                <w:color w:val="auto"/>
              </w:rPr>
              <w:t xml:space="preserve">16 December </w:t>
            </w:r>
            <w:r w:rsidR="005E342D">
              <w:rPr>
                <w:rFonts w:cs="Arial"/>
                <w:b/>
                <w:color w:val="auto"/>
              </w:rPr>
              <w:t>2020</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EC1A61" w:rsidP="00C0652D">
            <w:pPr>
              <w:rPr>
                <w:rStyle w:val="Firstpagetablebold"/>
                <w:rFonts w:cs="Arial"/>
                <w:color w:val="auto"/>
              </w:rPr>
            </w:pPr>
            <w:r>
              <w:rPr>
                <w:rStyle w:val="Firstpagetablebold"/>
                <w:rFonts w:cs="Arial"/>
                <w:color w:val="auto"/>
              </w:rPr>
              <w:t>Companies Scrutiny Panel</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E61656" w:rsidRPr="000F47BC" w:rsidRDefault="00E61656" w:rsidP="00E61656">
            <w:pPr>
              <w:rPr>
                <w:b/>
              </w:rPr>
            </w:pPr>
            <w:r>
              <w:rPr>
                <w:b/>
              </w:rPr>
              <w:t xml:space="preserve">Scrutiny Response to </w:t>
            </w:r>
            <w:r w:rsidR="00DE52C0">
              <w:rPr>
                <w:b/>
              </w:rPr>
              <w:t>agenda item 7</w:t>
            </w:r>
            <w:r w:rsidR="00C926A1">
              <w:rPr>
                <w:b/>
              </w:rPr>
              <w:t xml:space="preserve"> – </w:t>
            </w:r>
            <w:r w:rsidR="00DE52C0">
              <w:rPr>
                <w:b/>
              </w:rPr>
              <w:t>OCHL 10 Year Business Plan</w:t>
            </w:r>
            <w:r w:rsidR="00632937">
              <w:rPr>
                <w:b/>
              </w:rPr>
              <w:t xml:space="preserve"> </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bl>
    <w:p w:rsidR="00CE544A" w:rsidRDefault="00CE544A" w:rsidP="002F68C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20"/>
        <w:gridCol w:w="7043"/>
      </w:tblGrid>
      <w:tr w:rsidR="008C6EB7" w:rsidRPr="00575235" w:rsidTr="008C6EB7">
        <w:trPr>
          <w:trHeight w:val="372"/>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8C6EB7">
            <w:pPr>
              <w:jc w:val="center"/>
              <w:rPr>
                <w:rStyle w:val="Firstpagetablebold"/>
                <w:rFonts w:cs="Arial"/>
              </w:rPr>
            </w:pPr>
            <w:r w:rsidRPr="00575235">
              <w:rPr>
                <w:rStyle w:val="Firstpagetablebold"/>
                <w:rFonts w:cs="Arial"/>
              </w:rPr>
              <w:t>Summary and recommendations</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6"/>
        </w:trPr>
        <w:tc>
          <w:tcPr>
            <w:tcW w:w="2029" w:type="dxa"/>
            <w:gridSpan w:val="2"/>
            <w:tcBorders>
              <w:top w:val="single" w:sz="8" w:space="0" w:color="000000"/>
              <w:left w:val="single" w:sz="8" w:space="0" w:color="000000"/>
              <w:bottom w:val="single" w:sz="4" w:space="0" w:color="auto"/>
              <w:right w:val="nil"/>
            </w:tcBorders>
            <w:hideMark/>
          </w:tcPr>
          <w:p w:rsidR="008C6EB7" w:rsidRPr="00575235" w:rsidRDefault="008C6EB7" w:rsidP="00EE41F2">
            <w:pPr>
              <w:rPr>
                <w:rStyle w:val="Firstpagetablebold"/>
                <w:rFonts w:cs="Arial"/>
              </w:rPr>
            </w:pPr>
            <w:r w:rsidRPr="00575235">
              <w:rPr>
                <w:rStyle w:val="Firstpagetablebold"/>
                <w:rFonts w:cs="Arial"/>
              </w:rPr>
              <w:t>Purpose of report:</w:t>
            </w:r>
          </w:p>
        </w:tc>
        <w:tc>
          <w:tcPr>
            <w:tcW w:w="7043" w:type="dxa"/>
            <w:tcBorders>
              <w:top w:val="single" w:sz="8" w:space="0" w:color="000000"/>
              <w:left w:val="nil"/>
              <w:bottom w:val="single" w:sz="4" w:space="0" w:color="auto"/>
              <w:right w:val="single" w:sz="8" w:space="0" w:color="000000"/>
            </w:tcBorders>
          </w:tcPr>
          <w:p w:rsidR="008C6EB7" w:rsidRPr="00E61656" w:rsidRDefault="00E61656" w:rsidP="00DE52C0">
            <w:pPr>
              <w:rPr>
                <w:b/>
              </w:rPr>
            </w:pPr>
            <w:r>
              <w:t xml:space="preserve">To present Companies Scrutiny Panel recommendations concerning the </w:t>
            </w:r>
            <w:r w:rsidR="00DE52C0">
              <w:t>OCHL 10 Year Business Plan</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9"/>
        </w:trPr>
        <w:tc>
          <w:tcPr>
            <w:tcW w:w="9072" w:type="dxa"/>
            <w:gridSpan w:val="3"/>
            <w:tcBorders>
              <w:top w:val="single" w:sz="4" w:space="0" w:color="auto"/>
              <w:bottom w:val="nil"/>
            </w:tcBorders>
          </w:tcPr>
          <w:p w:rsidR="008C6EB7" w:rsidRPr="00575235" w:rsidRDefault="008C6EB7" w:rsidP="00EE41F2">
            <w:pPr>
              <w:rPr>
                <w:rFonts w:cs="Arial"/>
              </w:rPr>
            </w:pPr>
            <w:r>
              <w:rPr>
                <w:rStyle w:val="Firstpagetablebold"/>
                <w:rFonts w:cs="Arial"/>
              </w:rPr>
              <w:t>Recommendation</w:t>
            </w:r>
            <w:r w:rsidRPr="00575235">
              <w:rPr>
                <w:rStyle w:val="Firstpagetablebold"/>
                <w:rFonts w:cs="Arial"/>
              </w:rPr>
              <w:t>:</w:t>
            </w:r>
            <w:r>
              <w:rPr>
                <w:rStyle w:val="Firstpagetablebold"/>
                <w:rFonts w:cs="Arial"/>
              </w:rPr>
              <w:t xml:space="preserve"> The </w:t>
            </w:r>
            <w:r w:rsidR="002C3601">
              <w:rPr>
                <w:rStyle w:val="Firstpagetablebold"/>
                <w:rFonts w:cs="Arial"/>
              </w:rPr>
              <w:t xml:space="preserve">Shareholder and Joint Venture </w:t>
            </w:r>
            <w:r>
              <w:rPr>
                <w:rStyle w:val="Firstpagetablebold"/>
                <w:rFonts w:cs="Arial"/>
              </w:rPr>
              <w:t>Group is asked to</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
        </w:trPr>
        <w:tc>
          <w:tcPr>
            <w:tcW w:w="709" w:type="dxa"/>
            <w:tcBorders>
              <w:top w:val="nil"/>
              <w:left w:val="single" w:sz="8" w:space="0" w:color="000000"/>
              <w:bottom w:val="single" w:sz="4" w:space="0" w:color="auto"/>
              <w:right w:val="nil"/>
            </w:tcBorders>
          </w:tcPr>
          <w:p w:rsidR="008C6EB7" w:rsidRPr="00575235" w:rsidRDefault="008C6EB7" w:rsidP="00EE41F2">
            <w:pPr>
              <w:pStyle w:val="ListParagraph"/>
              <w:numPr>
                <w:ilvl w:val="0"/>
                <w:numId w:val="31"/>
              </w:numPr>
              <w:tabs>
                <w:tab w:val="clear" w:pos="426"/>
              </w:tabs>
              <w:ind w:left="317" w:right="34" w:hanging="141"/>
              <w:jc w:val="center"/>
              <w:rPr>
                <w:rFonts w:cs="Arial"/>
              </w:rPr>
            </w:pPr>
          </w:p>
        </w:tc>
        <w:tc>
          <w:tcPr>
            <w:tcW w:w="8363" w:type="dxa"/>
            <w:gridSpan w:val="2"/>
            <w:tcBorders>
              <w:top w:val="nil"/>
              <w:left w:val="nil"/>
              <w:bottom w:val="single" w:sz="4" w:space="0" w:color="auto"/>
              <w:right w:val="single" w:sz="8" w:space="0" w:color="000000"/>
            </w:tcBorders>
            <w:shd w:val="clear" w:color="auto" w:fill="auto"/>
          </w:tcPr>
          <w:p w:rsidR="008C6EB7" w:rsidRPr="00E61656" w:rsidRDefault="00E61656" w:rsidP="00E61656">
            <w:pPr>
              <w:spacing w:after="0"/>
              <w:contextualSpacing/>
              <w:jc w:val="both"/>
              <w:rPr>
                <w:rFonts w:cs="Arial"/>
                <w:b/>
              </w:rPr>
            </w:pPr>
            <w:proofErr w:type="gramStart"/>
            <w:r w:rsidRPr="00E61656">
              <w:rPr>
                <w:rStyle w:val="Firstpagetablebold"/>
                <w:b w:val="0"/>
              </w:rPr>
              <w:t>state</w:t>
            </w:r>
            <w:proofErr w:type="gramEnd"/>
            <w:r w:rsidRPr="00E61656">
              <w:rPr>
                <w:rStyle w:val="Firstpagetablebold"/>
                <w:b w:val="0"/>
              </w:rPr>
              <w:t xml:space="preserve"> whether it agrees or disagrees with the recommendation in the body of this report.</w:t>
            </w:r>
          </w:p>
        </w:tc>
      </w:tr>
    </w:tbl>
    <w:p w:rsidR="008C6EB7" w:rsidRDefault="008C6EB7" w:rsidP="008C6EB7">
      <w:pPr>
        <w:rPr>
          <w:rFonts w:eastAsiaTheme="minorHAnsi"/>
          <w:lang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8C6EB7" w:rsidRPr="00575235" w:rsidTr="00EE41F2">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EE41F2">
            <w:pPr>
              <w:jc w:val="center"/>
              <w:rPr>
                <w:rFonts w:cs="Arial"/>
              </w:rPr>
            </w:pPr>
            <w:r w:rsidRPr="00575235">
              <w:rPr>
                <w:rStyle w:val="Firstpagetablebold"/>
                <w:rFonts w:cs="Arial"/>
              </w:rPr>
              <w:t>Appendices</w:t>
            </w:r>
          </w:p>
        </w:tc>
      </w:tr>
      <w:tr w:rsidR="008C6EB7" w:rsidRPr="00575235" w:rsidTr="00EE41F2">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8C6EB7" w:rsidRPr="00575235" w:rsidRDefault="00E61656" w:rsidP="00EE41F2">
            <w:pPr>
              <w:rPr>
                <w:rFonts w:cs="Arial"/>
                <w:color w:val="auto"/>
              </w:rPr>
            </w:pPr>
            <w:r>
              <w:rPr>
                <w:rFonts w:cs="Arial"/>
                <w:color w:val="auto"/>
              </w:rPr>
              <w:t>None</w:t>
            </w:r>
          </w:p>
        </w:tc>
        <w:tc>
          <w:tcPr>
            <w:tcW w:w="6772" w:type="dxa"/>
            <w:tcBorders>
              <w:top w:val="single" w:sz="8" w:space="0" w:color="000000"/>
              <w:left w:val="nil"/>
              <w:bottom w:val="single" w:sz="4" w:space="0" w:color="auto"/>
              <w:right w:val="single" w:sz="8" w:space="0" w:color="000000"/>
            </w:tcBorders>
          </w:tcPr>
          <w:p w:rsidR="008C6EB7" w:rsidRPr="00575235" w:rsidRDefault="008C6EB7" w:rsidP="00EE41F2">
            <w:pPr>
              <w:rPr>
                <w:rFonts w:cs="Arial"/>
                <w:color w:val="auto"/>
              </w:rPr>
            </w:pPr>
          </w:p>
        </w:tc>
      </w:tr>
    </w:tbl>
    <w:p w:rsidR="008C6EB7" w:rsidRDefault="008C6EB7" w:rsidP="008C6EB7">
      <w:pPr>
        <w:rPr>
          <w:rFonts w:eastAsiaTheme="minorHAnsi"/>
          <w:lang w:eastAsia="en-US"/>
        </w:rPr>
      </w:pPr>
    </w:p>
    <w:p w:rsidR="008139D7" w:rsidRDefault="008139D7" w:rsidP="008139D7">
      <w:pPr>
        <w:pStyle w:val="Heading1"/>
        <w:spacing w:before="0"/>
        <w:contextualSpacing/>
      </w:pPr>
      <w:r w:rsidRPr="001356F1">
        <w:t xml:space="preserve">Introduction and </w:t>
      </w:r>
      <w:r>
        <w:t>overview</w:t>
      </w:r>
    </w:p>
    <w:p w:rsidR="00A83FC9" w:rsidRDefault="00632937" w:rsidP="008139D7">
      <w:pPr>
        <w:pStyle w:val="ListParagraph"/>
        <w:numPr>
          <w:ilvl w:val="0"/>
          <w:numId w:val="48"/>
        </w:numPr>
        <w:spacing w:after="0"/>
        <w:ind w:left="426" w:hanging="426"/>
      </w:pPr>
      <w:r>
        <w:t xml:space="preserve">At its meeting on 14 December </w:t>
      </w:r>
      <w:r w:rsidR="00C926A1">
        <w:t>2020</w:t>
      </w:r>
      <w:r w:rsidR="00A83FC9">
        <w:t>, the Companies Scrutiny Panel</w:t>
      </w:r>
      <w:r w:rsidR="008139D7">
        <w:t xml:space="preserve"> considered</w:t>
      </w:r>
      <w:r w:rsidR="00C926A1">
        <w:t xml:space="preserve"> </w:t>
      </w:r>
      <w:r w:rsidR="005E342D">
        <w:t xml:space="preserve">the </w:t>
      </w:r>
      <w:r w:rsidR="00DE52C0">
        <w:t>OCHL 10 Year Business Plan</w:t>
      </w:r>
      <w:r>
        <w:t xml:space="preserve"> report</w:t>
      </w:r>
      <w:r w:rsidR="005E342D">
        <w:t>.</w:t>
      </w:r>
    </w:p>
    <w:p w:rsidR="008139D7" w:rsidRDefault="008139D7" w:rsidP="008139D7">
      <w:pPr>
        <w:spacing w:after="0"/>
      </w:pPr>
    </w:p>
    <w:p w:rsidR="00C926A1" w:rsidRPr="005C1171" w:rsidRDefault="008139D7" w:rsidP="00C926A1">
      <w:pPr>
        <w:pStyle w:val="ListParagraph"/>
        <w:numPr>
          <w:ilvl w:val="0"/>
          <w:numId w:val="48"/>
        </w:numPr>
        <w:spacing w:after="0"/>
        <w:ind w:left="426" w:hanging="426"/>
        <w:rPr>
          <w:b/>
          <w:color w:val="auto"/>
        </w:rPr>
      </w:pPr>
      <w:r>
        <w:t xml:space="preserve">The Panel would like to thank </w:t>
      </w:r>
      <w:r w:rsidR="00632937">
        <w:t>Jane Winfield, OCC Company Director</w:t>
      </w:r>
      <w:r w:rsidR="00DE52C0">
        <w:t xml:space="preserve"> for OCHL</w:t>
      </w:r>
      <w:r w:rsidR="00632937">
        <w:t>,</w:t>
      </w:r>
      <w:r w:rsidR="00DE52C0">
        <w:t xml:space="preserve"> Steven Clarke, OCC Company Director for OCHL, Mike Day, OCHL Managing Director</w:t>
      </w:r>
      <w:r w:rsidR="00632937">
        <w:t xml:space="preserve">, </w:t>
      </w:r>
      <w:r w:rsidR="00DE52C0">
        <w:t xml:space="preserve">Lindsay Cane, OCHL </w:t>
      </w:r>
      <w:r w:rsidR="00632937">
        <w:t>Company Secretary</w:t>
      </w:r>
      <w:r w:rsidR="00DE52C0">
        <w:t xml:space="preserve"> and David Watt, Strategic Finance Director</w:t>
      </w:r>
      <w:r w:rsidR="005C1171">
        <w:t xml:space="preserve"> for attending the meeting and answering questions</w:t>
      </w:r>
      <w:r w:rsidR="006C7C6C">
        <w:t>.</w:t>
      </w:r>
      <w:r w:rsidR="00397693">
        <w:t xml:space="preserve"> The Panel would also like to thank Nigel Kennedy, Head of Financial Services, and Anita Bradley, </w:t>
      </w:r>
      <w:r w:rsidR="00D44449">
        <w:t>Head of Law and Governance</w:t>
      </w:r>
      <w:r w:rsidR="00397693">
        <w:t xml:space="preserve"> </w:t>
      </w:r>
      <w:r w:rsidR="00BF64E9">
        <w:t>for attending as advisors to the Shareholder and Joint Venture Group</w:t>
      </w:r>
      <w:r w:rsidR="00397693">
        <w:t>.</w:t>
      </w:r>
    </w:p>
    <w:p w:rsidR="007859F3" w:rsidRDefault="008139D7" w:rsidP="008D77E2">
      <w:pPr>
        <w:pStyle w:val="Heading1"/>
      </w:pPr>
      <w:r w:rsidRPr="00B06D07">
        <w:t>Summary and recommendation</w:t>
      </w:r>
    </w:p>
    <w:p w:rsidR="00EE00E3" w:rsidRPr="00EE00E3" w:rsidRDefault="00EE00E3" w:rsidP="00EE00E3">
      <w:pPr>
        <w:rPr>
          <w:rFonts w:eastAsiaTheme="minorHAnsi"/>
          <w:lang w:eastAsia="en-US"/>
        </w:rPr>
      </w:pPr>
    </w:p>
    <w:p w:rsidR="00DE52C0" w:rsidRPr="005C1171" w:rsidRDefault="00D44449" w:rsidP="005C1171">
      <w:pPr>
        <w:pStyle w:val="ListParagraph"/>
        <w:rPr>
          <w:rFonts w:eastAsiaTheme="minorHAnsi"/>
          <w:lang w:eastAsia="en-US"/>
        </w:rPr>
      </w:pPr>
      <w:r>
        <w:rPr>
          <w:rFonts w:eastAsiaTheme="minorHAnsi"/>
          <w:lang w:eastAsia="en-US"/>
        </w:rPr>
        <w:t xml:space="preserve">The </w:t>
      </w:r>
      <w:r w:rsidR="00DE52C0">
        <w:rPr>
          <w:rFonts w:eastAsiaTheme="minorHAnsi"/>
          <w:lang w:eastAsia="en-US"/>
        </w:rPr>
        <w:t>OCHL Managing Director</w:t>
      </w:r>
      <w:r w:rsidR="00397693">
        <w:rPr>
          <w:rFonts w:eastAsiaTheme="minorHAnsi"/>
          <w:lang w:eastAsia="en-US"/>
        </w:rPr>
        <w:t xml:space="preserve"> introduced the report</w:t>
      </w:r>
      <w:r w:rsidR="00EE00E3">
        <w:rPr>
          <w:rFonts w:eastAsiaTheme="minorHAnsi"/>
          <w:lang w:eastAsia="en-US"/>
        </w:rPr>
        <w:t xml:space="preserve">. </w:t>
      </w:r>
      <w:r w:rsidR="006C7C6C">
        <w:rPr>
          <w:rFonts w:eastAsiaTheme="minorHAnsi"/>
          <w:lang w:eastAsia="en-US"/>
        </w:rPr>
        <w:t>Due to the item having been held in confidential session the majority of the discussion is</w:t>
      </w:r>
      <w:r w:rsidR="00F84CEE">
        <w:rPr>
          <w:rFonts w:eastAsiaTheme="minorHAnsi"/>
          <w:lang w:eastAsia="en-US"/>
        </w:rPr>
        <w:t xml:space="preserve"> not</w:t>
      </w:r>
      <w:r w:rsidR="006C7C6C">
        <w:rPr>
          <w:rFonts w:eastAsiaTheme="minorHAnsi"/>
          <w:lang w:eastAsia="en-US"/>
        </w:rPr>
        <w:t xml:space="preserve"> recounted in this report but will be available in the minutes of the meeting.</w:t>
      </w:r>
    </w:p>
    <w:p w:rsidR="00DE52C0" w:rsidRDefault="006C7C6C" w:rsidP="00DE52C0">
      <w:pPr>
        <w:pStyle w:val="ListParagraph"/>
        <w:rPr>
          <w:rFonts w:eastAsiaTheme="minorHAnsi"/>
          <w:lang w:eastAsia="en-US"/>
        </w:rPr>
      </w:pPr>
      <w:r>
        <w:rPr>
          <w:rFonts w:eastAsiaTheme="minorHAnsi"/>
          <w:lang w:eastAsia="en-US"/>
        </w:rPr>
        <w:t>Having heard the presentation of the report the Panel</w:t>
      </w:r>
      <w:r w:rsidR="00632937">
        <w:rPr>
          <w:rFonts w:eastAsiaTheme="minorHAnsi"/>
          <w:lang w:eastAsia="en-US"/>
        </w:rPr>
        <w:t xml:space="preserve"> makes one</w:t>
      </w:r>
      <w:r w:rsidR="005E342D">
        <w:rPr>
          <w:rFonts w:eastAsiaTheme="minorHAnsi"/>
          <w:lang w:eastAsia="en-US"/>
        </w:rPr>
        <w:t xml:space="preserve"> recommendation in relation to </w:t>
      </w:r>
      <w:r w:rsidR="00E4653D">
        <w:rPr>
          <w:rFonts w:eastAsiaTheme="minorHAnsi"/>
          <w:lang w:eastAsia="en-US"/>
        </w:rPr>
        <w:t>the exploration of alternative models to fund energy efficiency improvements.</w:t>
      </w:r>
    </w:p>
    <w:p w:rsidR="002A1BC8" w:rsidRPr="00E4653D" w:rsidRDefault="00DE52C0" w:rsidP="00426D2A">
      <w:pPr>
        <w:pStyle w:val="ListParagraph"/>
        <w:rPr>
          <w:rFonts w:eastAsiaTheme="minorHAnsi"/>
          <w:lang w:eastAsia="en-US"/>
        </w:rPr>
      </w:pPr>
      <w:r w:rsidRPr="00DE52C0">
        <w:rPr>
          <w:rFonts w:eastAsiaTheme="minorHAnsi"/>
          <w:lang w:eastAsia="en-US"/>
        </w:rPr>
        <w:t xml:space="preserve">The Panel wished it be brought to the Shareholder Group’s attention that </w:t>
      </w:r>
      <w:r>
        <w:rPr>
          <w:rFonts w:eastAsiaTheme="minorHAnsi"/>
          <w:lang w:eastAsia="en-US"/>
        </w:rPr>
        <w:t xml:space="preserve">one member of the Panel </w:t>
      </w:r>
      <w:r>
        <w:t xml:space="preserve">did not support the implied trade-off in the report between dividend, carbon reductions and the number of affordable homes. Value would be delivered to the Council beyond the level of the dividend through the provision of more affordable </w:t>
      </w:r>
      <w:r>
        <w:lastRenderedPageBreak/>
        <w:t>housing (poverty reduction) and reductions in carbon emissions (reducing operational and maintenance costs). If these 'indirect' financial benefits were to</w:t>
      </w:r>
      <w:r w:rsidR="005C1171">
        <w:t xml:space="preserve"> be</w:t>
      </w:r>
      <w:r>
        <w:t xml:space="preserve"> included then there would be no trade-off. </w:t>
      </w:r>
    </w:p>
    <w:p w:rsidR="00426D2A" w:rsidRPr="00DD22FC" w:rsidRDefault="00E4653D" w:rsidP="008D77E2">
      <w:pPr>
        <w:pStyle w:val="Heading1"/>
        <w:rPr>
          <w:rFonts w:eastAsiaTheme="minorHAnsi"/>
          <w:lang w:eastAsia="en-US"/>
        </w:rPr>
      </w:pPr>
      <w:r>
        <w:rPr>
          <w:rFonts w:eastAsiaTheme="minorHAnsi"/>
          <w:lang w:eastAsia="en-US"/>
        </w:rPr>
        <w:t>Funding Energy Improvements</w:t>
      </w:r>
    </w:p>
    <w:p w:rsidR="008D77E2" w:rsidRPr="0031573A" w:rsidRDefault="0031573A" w:rsidP="008D77E2">
      <w:pPr>
        <w:pStyle w:val="ListParagraph"/>
        <w:rPr>
          <w:b/>
          <w:noProof/>
        </w:rPr>
      </w:pPr>
      <w:r>
        <w:rPr>
          <w:rFonts w:eastAsiaTheme="minorHAnsi"/>
          <w:lang w:eastAsia="en-US"/>
        </w:rPr>
        <w:t>The difference of opinion amongst the Panel over whether a trade-off existed between dividend levels, carbon reduction and the number of affordable homes notw</w:t>
      </w:r>
      <w:bookmarkStart w:id="0" w:name="_GoBack"/>
      <w:bookmarkEnd w:id="0"/>
      <w:r>
        <w:rPr>
          <w:rFonts w:eastAsiaTheme="minorHAnsi"/>
          <w:lang w:eastAsia="en-US"/>
        </w:rPr>
        <w:t>ithstanding, all members of the Panel recognised any possible increase in energy efficiency as being desirable and were keen to know of the company’s explorations of models through which savings made by tenants through greater energy efficiency could be, to some degree, levied</w:t>
      </w:r>
      <w:r w:rsidR="00726A03">
        <w:rPr>
          <w:rFonts w:eastAsiaTheme="minorHAnsi"/>
          <w:lang w:eastAsia="en-US"/>
        </w:rPr>
        <w:t xml:space="preserve"> </w:t>
      </w:r>
      <w:r>
        <w:rPr>
          <w:rFonts w:eastAsiaTheme="minorHAnsi"/>
          <w:lang w:eastAsia="en-US"/>
        </w:rPr>
        <w:t xml:space="preserve"> as a service charge by the landlord, creating a revenue stream with which to repay additional investment in energy efficiency measures. </w:t>
      </w:r>
    </w:p>
    <w:p w:rsidR="0031573A" w:rsidRPr="006057AC" w:rsidRDefault="0031573A" w:rsidP="008D77E2">
      <w:pPr>
        <w:pStyle w:val="ListParagraph"/>
        <w:rPr>
          <w:b/>
          <w:noProof/>
        </w:rPr>
      </w:pPr>
      <w:r>
        <w:rPr>
          <w:rFonts w:eastAsiaTheme="minorHAnsi"/>
          <w:lang w:eastAsia="en-US"/>
        </w:rPr>
        <w:t xml:space="preserve">It was reported </w:t>
      </w:r>
      <w:r w:rsidR="00403734">
        <w:rPr>
          <w:rFonts w:eastAsiaTheme="minorHAnsi"/>
          <w:lang w:eastAsia="en-US"/>
        </w:rPr>
        <w:t xml:space="preserve">by the Managing Director </w:t>
      </w:r>
      <w:r>
        <w:rPr>
          <w:rFonts w:eastAsiaTheme="minorHAnsi"/>
          <w:lang w:eastAsia="en-US"/>
        </w:rPr>
        <w:t xml:space="preserve">that it is difficult to charge a premium through </w:t>
      </w:r>
      <w:r w:rsidR="00403734">
        <w:rPr>
          <w:rFonts w:eastAsiaTheme="minorHAnsi"/>
          <w:lang w:eastAsia="en-US"/>
        </w:rPr>
        <w:t>rents, given that</w:t>
      </w:r>
      <w:r w:rsidR="00463AD8">
        <w:rPr>
          <w:rFonts w:eastAsiaTheme="minorHAnsi"/>
          <w:lang w:eastAsia="en-US"/>
        </w:rPr>
        <w:t xml:space="preserve"> the formula for setting social</w:t>
      </w:r>
      <w:r w:rsidR="00403734">
        <w:rPr>
          <w:rFonts w:eastAsiaTheme="minorHAnsi"/>
          <w:lang w:eastAsia="en-US"/>
        </w:rPr>
        <w:t xml:space="preserve"> rents are set on the basis of </w:t>
      </w:r>
      <w:r w:rsidR="00463AD8">
        <w:rPr>
          <w:rFonts w:eastAsiaTheme="minorHAnsi"/>
          <w:lang w:eastAsia="en-US"/>
        </w:rPr>
        <w:t xml:space="preserve">1999 </w:t>
      </w:r>
      <w:r w:rsidR="00403734">
        <w:rPr>
          <w:rFonts w:eastAsiaTheme="minorHAnsi"/>
          <w:lang w:eastAsia="en-US"/>
        </w:rPr>
        <w:t>house values and</w:t>
      </w:r>
      <w:r w:rsidR="00463AD8">
        <w:rPr>
          <w:rFonts w:eastAsiaTheme="minorHAnsi"/>
          <w:lang w:eastAsia="en-US"/>
        </w:rPr>
        <w:t xml:space="preserve"> affordable rents are based on 80% of the market rents and</w:t>
      </w:r>
      <w:r w:rsidR="00403734">
        <w:rPr>
          <w:rFonts w:eastAsiaTheme="minorHAnsi"/>
          <w:lang w:eastAsia="en-US"/>
        </w:rPr>
        <w:t xml:space="preserve"> energy efficient homes do not command a premium value </w:t>
      </w:r>
      <w:r w:rsidR="00463AD8">
        <w:rPr>
          <w:rFonts w:eastAsiaTheme="minorHAnsi"/>
          <w:lang w:eastAsia="en-US"/>
        </w:rPr>
        <w:t xml:space="preserve">in </w:t>
      </w:r>
      <w:r w:rsidR="00403734">
        <w:rPr>
          <w:rFonts w:eastAsiaTheme="minorHAnsi"/>
          <w:lang w:eastAsia="en-US"/>
        </w:rPr>
        <w:t>the market.</w:t>
      </w:r>
      <w:r w:rsidR="00463AD8">
        <w:rPr>
          <w:rFonts w:eastAsiaTheme="minorHAnsi"/>
          <w:lang w:eastAsia="en-US"/>
        </w:rPr>
        <w:t xml:space="preserve"> If the premium was set through the service charge element,</w:t>
      </w:r>
      <w:r w:rsidR="00403734">
        <w:rPr>
          <w:rFonts w:eastAsiaTheme="minorHAnsi"/>
          <w:lang w:eastAsia="en-US"/>
        </w:rPr>
        <w:t xml:space="preserve"> </w:t>
      </w:r>
      <w:r w:rsidR="00463AD8">
        <w:rPr>
          <w:rFonts w:eastAsiaTheme="minorHAnsi"/>
          <w:lang w:eastAsia="en-US"/>
        </w:rPr>
        <w:t xml:space="preserve">a </w:t>
      </w:r>
      <w:r w:rsidR="00403734">
        <w:rPr>
          <w:rFonts w:eastAsiaTheme="minorHAnsi"/>
          <w:lang w:eastAsia="en-US"/>
        </w:rPr>
        <w:t>consequence of this was that tenants would not be able to have that payment covered through their housing benefit. The Company was, however, holding in-depth discussions with a number of organisations</w:t>
      </w:r>
      <w:r w:rsidR="00463AD8">
        <w:rPr>
          <w:rFonts w:eastAsiaTheme="minorHAnsi"/>
          <w:lang w:eastAsia="en-US"/>
        </w:rPr>
        <w:t>, including Nottingham City Homes</w:t>
      </w:r>
      <w:r w:rsidR="00403734">
        <w:rPr>
          <w:rFonts w:eastAsiaTheme="minorHAnsi"/>
          <w:lang w:eastAsia="en-US"/>
        </w:rPr>
        <w:t xml:space="preserve"> who had implemented such a charge </w:t>
      </w:r>
      <w:r w:rsidR="00403734">
        <w:rPr>
          <w:rFonts w:eastAsiaTheme="minorHAnsi"/>
          <w:lang w:eastAsia="en-US"/>
        </w:rPr>
        <w:lastRenderedPageBreak/>
        <w:t xml:space="preserve">to understand their workings </w:t>
      </w:r>
      <w:r w:rsidR="00F90123">
        <w:rPr>
          <w:rFonts w:eastAsiaTheme="minorHAnsi"/>
          <w:lang w:eastAsia="en-US"/>
        </w:rPr>
        <w:t>in order to see whether, in the legal context within which the company and Council were operating</w:t>
      </w:r>
      <w:r w:rsidR="00D44449">
        <w:rPr>
          <w:rFonts w:eastAsiaTheme="minorHAnsi"/>
          <w:lang w:eastAsia="en-US"/>
        </w:rPr>
        <w:t>,</w:t>
      </w:r>
      <w:r w:rsidR="00F90123">
        <w:rPr>
          <w:rFonts w:eastAsiaTheme="minorHAnsi"/>
          <w:lang w:eastAsia="en-US"/>
        </w:rPr>
        <w:t xml:space="preserve"> it would be practicable. </w:t>
      </w:r>
    </w:p>
    <w:p w:rsidR="006057AC" w:rsidRPr="008D77E2" w:rsidRDefault="00F90123" w:rsidP="008D77E2">
      <w:pPr>
        <w:pStyle w:val="ListParagraph"/>
        <w:rPr>
          <w:b/>
          <w:noProof/>
        </w:rPr>
      </w:pPr>
      <w:r>
        <w:rPr>
          <w:rFonts w:eastAsiaTheme="minorHAnsi"/>
          <w:lang w:eastAsia="en-US"/>
        </w:rPr>
        <w:t xml:space="preserve">The Panel is very supportive of the idea of such a funding model, but it takes on board advice that its planned ownership of the houses developed by OCHL may constrain its ability </w:t>
      </w:r>
      <w:r w:rsidR="005C1171">
        <w:rPr>
          <w:rFonts w:eastAsiaTheme="minorHAnsi"/>
          <w:lang w:eastAsia="en-US"/>
        </w:rPr>
        <w:t>to apply innovative funding models. It wishes that until such time as it shown to be not practicable, that the idea be pursued.</w:t>
      </w:r>
    </w:p>
    <w:p w:rsidR="00C93CF6" w:rsidRDefault="00A2184A" w:rsidP="008D77E2">
      <w:pPr>
        <w:pStyle w:val="ListParagraph"/>
        <w:numPr>
          <w:ilvl w:val="0"/>
          <w:numId w:val="0"/>
        </w:numPr>
        <w:ind w:left="360"/>
        <w:rPr>
          <w:b/>
          <w:noProof/>
        </w:rPr>
      </w:pPr>
      <w:r>
        <w:rPr>
          <w:b/>
          <w:noProof/>
        </w:rPr>
        <w:t>Recommendation 1: T</w:t>
      </w:r>
      <w:r w:rsidR="00077DA4">
        <w:rPr>
          <w:b/>
          <w:noProof/>
        </w:rPr>
        <w:t xml:space="preserve">hat the </w:t>
      </w:r>
      <w:r w:rsidR="008D77E2">
        <w:rPr>
          <w:b/>
          <w:noProof/>
        </w:rPr>
        <w:t xml:space="preserve">Shareholder </w:t>
      </w:r>
      <w:r w:rsidR="00F90123">
        <w:rPr>
          <w:b/>
          <w:noProof/>
        </w:rPr>
        <w:t xml:space="preserve">seeks the company to report back on the practicability of models through which energy efficiency measures could be funded through a partial levy made on the energy savings of tenants once it has completed discussions with existing practitioners of such models. </w:t>
      </w:r>
    </w:p>
    <w:p w:rsidR="005C7E85" w:rsidRDefault="008139D7" w:rsidP="008D77E2">
      <w:pPr>
        <w:pStyle w:val="Heading1"/>
      </w:pPr>
      <w:r w:rsidRPr="006A5C65">
        <w:t xml:space="preserve">Further Consideration </w:t>
      </w:r>
    </w:p>
    <w:p w:rsidR="008139D7" w:rsidRPr="008139D7" w:rsidRDefault="008139D7" w:rsidP="008139D7">
      <w:pPr>
        <w:spacing w:after="0"/>
        <w:rPr>
          <w:b/>
          <w:color w:val="auto"/>
        </w:rPr>
      </w:pPr>
    </w:p>
    <w:p w:rsidR="00283B69" w:rsidRPr="00575235" w:rsidRDefault="008D77E2" w:rsidP="00A566D0">
      <w:pPr>
        <w:pStyle w:val="bParagraphtext"/>
        <w:rPr>
          <w:rFonts w:eastAsiaTheme="minorHAnsi"/>
          <w:lang w:eastAsia="en-US"/>
        </w:rPr>
      </w:pPr>
      <w:r>
        <w:rPr>
          <w:rFonts w:eastAsiaTheme="minorHAnsi"/>
          <w:lang w:eastAsia="en-US"/>
        </w:rPr>
        <w:t xml:space="preserve">The Companies Scrutiny Panel has updates from </w:t>
      </w:r>
      <w:r w:rsidR="00E4653D">
        <w:rPr>
          <w:rFonts w:eastAsiaTheme="minorHAnsi"/>
          <w:lang w:eastAsia="en-US"/>
        </w:rPr>
        <w:t>OCHL</w:t>
      </w:r>
      <w:r>
        <w:rPr>
          <w:rFonts w:eastAsiaTheme="minorHAnsi"/>
          <w:lang w:eastAsia="en-US"/>
        </w:rPr>
        <w:t xml:space="preserve"> as a standing item on its agenda. </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385"/>
        <w:gridCol w:w="5785"/>
      </w:tblGrid>
      <w:tr w:rsidR="00DF093E" w:rsidRPr="00575235" w:rsidTr="00A566D0">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5812" w:type="dxa"/>
            <w:tcBorders>
              <w:top w:val="single" w:sz="8" w:space="0" w:color="000000"/>
              <w:left w:val="nil"/>
              <w:bottom w:val="single" w:sz="8" w:space="0" w:color="000000"/>
              <w:right w:val="single" w:sz="8" w:space="0" w:color="000000"/>
            </w:tcBorders>
            <w:shd w:val="clear" w:color="auto" w:fill="auto"/>
          </w:tcPr>
          <w:p w:rsidR="00E87F7A" w:rsidRPr="00575235" w:rsidRDefault="00EC1A61" w:rsidP="00A46E98">
            <w:pPr>
              <w:rPr>
                <w:rFonts w:cs="Arial"/>
              </w:rPr>
            </w:pPr>
            <w:r>
              <w:rPr>
                <w:rFonts w:cs="Arial"/>
              </w:rPr>
              <w:t>Tom Hudson</w:t>
            </w:r>
          </w:p>
        </w:tc>
      </w:tr>
      <w:tr w:rsidR="00DF093E" w:rsidRPr="00575235" w:rsidTr="00A566D0">
        <w:trPr>
          <w:cantSplit/>
          <w:trHeight w:val="396"/>
        </w:trPr>
        <w:tc>
          <w:tcPr>
            <w:tcW w:w="3402"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E87F7A" w:rsidRPr="00575235" w:rsidRDefault="00E87F7A" w:rsidP="00A46E98">
            <w:pPr>
              <w:rPr>
                <w:rFonts w:cs="Arial"/>
              </w:rPr>
            </w:pPr>
            <w:r w:rsidRPr="00575235">
              <w:rPr>
                <w:rFonts w:cs="Arial"/>
              </w:rPr>
              <w:t xml:space="preserve">Telephone </w:t>
            </w:r>
          </w:p>
        </w:tc>
        <w:tc>
          <w:tcPr>
            <w:tcW w:w="5812" w:type="dxa"/>
            <w:tcBorders>
              <w:top w:val="nil"/>
              <w:left w:val="nil"/>
              <w:bottom w:val="nil"/>
              <w:right w:val="single" w:sz="8" w:space="0" w:color="000000"/>
            </w:tcBorders>
            <w:shd w:val="clear" w:color="auto" w:fill="auto"/>
          </w:tcPr>
          <w:p w:rsidR="002A2D09" w:rsidRDefault="00EC1A61" w:rsidP="00922669">
            <w:pPr>
              <w:rPr>
                <w:rFonts w:cs="Arial"/>
              </w:rPr>
            </w:pPr>
            <w:r>
              <w:rPr>
                <w:rFonts w:cs="Arial"/>
              </w:rPr>
              <w:t>Scrutiny Officer</w:t>
            </w:r>
          </w:p>
          <w:p w:rsidR="002A2D09" w:rsidRDefault="00EC1A61" w:rsidP="00922669">
            <w:pPr>
              <w:rPr>
                <w:rFonts w:cs="Arial"/>
              </w:rPr>
            </w:pPr>
            <w:r>
              <w:rPr>
                <w:rFonts w:cs="Arial"/>
              </w:rPr>
              <w:t>Law and Governance</w:t>
            </w:r>
          </w:p>
          <w:p w:rsidR="00E87F7A" w:rsidRPr="00575235" w:rsidRDefault="00FE0854" w:rsidP="00922669">
            <w:pPr>
              <w:rPr>
                <w:rFonts w:cs="Arial"/>
              </w:rPr>
            </w:pPr>
            <w:r w:rsidRPr="00575235">
              <w:rPr>
                <w:rFonts w:cs="Arial"/>
              </w:rPr>
              <w:t>0</w:t>
            </w:r>
            <w:r w:rsidR="00922669" w:rsidRPr="00575235">
              <w:rPr>
                <w:rFonts w:cs="Arial"/>
              </w:rPr>
              <w:t>1865 25</w:t>
            </w:r>
            <w:r w:rsidR="00EC1A61">
              <w:rPr>
                <w:rFonts w:cs="Arial"/>
              </w:rPr>
              <w:t>2191</w:t>
            </w:r>
          </w:p>
        </w:tc>
      </w:tr>
      <w:tr w:rsidR="005570B5" w:rsidRPr="00575235" w:rsidTr="00A566D0">
        <w:trPr>
          <w:cantSplit/>
          <w:trHeight w:val="396"/>
        </w:trPr>
        <w:tc>
          <w:tcPr>
            <w:tcW w:w="3402"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lastRenderedPageBreak/>
              <w:t xml:space="preserve">e-mail </w:t>
            </w:r>
          </w:p>
        </w:tc>
        <w:tc>
          <w:tcPr>
            <w:tcW w:w="5812" w:type="dxa"/>
            <w:tcBorders>
              <w:top w:val="nil"/>
              <w:left w:val="nil"/>
              <w:bottom w:val="single" w:sz="8" w:space="0" w:color="000000"/>
              <w:right w:val="single" w:sz="8" w:space="0" w:color="000000"/>
            </w:tcBorders>
            <w:shd w:val="clear" w:color="auto" w:fill="auto"/>
          </w:tcPr>
          <w:p w:rsidR="00E87F7A" w:rsidRPr="00575235" w:rsidRDefault="00F6217F" w:rsidP="00922669">
            <w:pPr>
              <w:rPr>
                <w:rStyle w:val="Hyperlink"/>
                <w:rFonts w:cs="Arial"/>
                <w:color w:val="000000"/>
              </w:rPr>
            </w:pPr>
            <w:hyperlink r:id="rId8" w:history="1">
              <w:r w:rsidR="00EC1A61" w:rsidRPr="001E5332">
                <w:rPr>
                  <w:rStyle w:val="Hyperlink"/>
                  <w:rFonts w:cs="Arial"/>
                </w:rPr>
                <w:t>thudson@oxford.gov.uk</w:t>
              </w:r>
            </w:hyperlink>
            <w:r w:rsidR="00A566D0">
              <w:rPr>
                <w:rStyle w:val="Hyperlink"/>
                <w:rFonts w:cs="Arial"/>
                <w:color w:val="000000"/>
              </w:rPr>
              <w:t xml:space="preserve">  </w:t>
            </w:r>
          </w:p>
        </w:tc>
      </w:tr>
    </w:tbl>
    <w:p w:rsidR="00AE00D6" w:rsidRDefault="00AE00D6" w:rsidP="002F68CC">
      <w:pPr>
        <w:jc w:val="both"/>
        <w:rPr>
          <w:rFonts w:cs="Arial"/>
        </w:rPr>
      </w:pPr>
    </w:p>
    <w:p w:rsidR="00AE00D6" w:rsidRDefault="00AE00D6" w:rsidP="002F68CC">
      <w:pPr>
        <w:jc w:val="both"/>
        <w:rPr>
          <w:rFonts w:cs="Arial"/>
        </w:rPr>
        <w:sectPr w:rsidR="00AE00D6" w:rsidSect="00A566D0">
          <w:footerReference w:type="even" r:id="rId9"/>
          <w:footerReference w:type="default" r:id="rId10"/>
          <w:headerReference w:type="first" r:id="rId11"/>
          <w:pgSz w:w="11906" w:h="16838" w:code="9"/>
          <w:pgMar w:top="1418" w:right="1304" w:bottom="1304" w:left="1304" w:header="851" w:footer="680" w:gutter="0"/>
          <w:cols w:space="708"/>
          <w:titlePg/>
          <w:docGrid w:linePitch="360"/>
        </w:sectPr>
      </w:pPr>
    </w:p>
    <w:p w:rsidR="00AE00D6" w:rsidRDefault="00AE00D6" w:rsidP="00AE00D6">
      <w:pPr>
        <w:rPr>
          <w:rFonts w:cs="Arial"/>
          <w:b/>
        </w:rPr>
      </w:pPr>
      <w:r>
        <w:rPr>
          <w:rFonts w:cs="Arial"/>
          <w:b/>
        </w:rPr>
        <w:lastRenderedPageBreak/>
        <w:t>Shareholder response to</w:t>
      </w:r>
      <w:r w:rsidRPr="00DE5736">
        <w:rPr>
          <w:rFonts w:cs="Arial"/>
          <w:b/>
        </w:rPr>
        <w:t xml:space="preserve"> </w:t>
      </w:r>
      <w:r w:rsidRPr="00D8335C">
        <w:rPr>
          <w:rFonts w:cs="Arial"/>
          <w:b/>
        </w:rPr>
        <w:t xml:space="preserve">recommendations of the </w:t>
      </w:r>
      <w:r>
        <w:rPr>
          <w:rFonts w:cs="Arial"/>
          <w:b/>
        </w:rPr>
        <w:t>Companies Scrutiny Panel</w:t>
      </w:r>
      <w:r w:rsidRPr="00D8335C">
        <w:rPr>
          <w:rFonts w:cs="Arial"/>
          <w:b/>
        </w:rPr>
        <w:t xml:space="preserve"> made on </w:t>
      </w:r>
      <w:r w:rsidR="00632937">
        <w:rPr>
          <w:rFonts w:cs="Arial"/>
          <w:b/>
        </w:rPr>
        <w:t>14/12</w:t>
      </w:r>
      <w:r w:rsidR="001B243F">
        <w:rPr>
          <w:rFonts w:cs="Arial"/>
          <w:b/>
        </w:rPr>
        <w:t xml:space="preserve">/2020 </w:t>
      </w:r>
      <w:r w:rsidRPr="00D8335C">
        <w:rPr>
          <w:rFonts w:cs="Arial"/>
          <w:b/>
        </w:rPr>
        <w:t>concerning</w:t>
      </w:r>
      <w:r>
        <w:rPr>
          <w:rFonts w:cs="Arial"/>
          <w:b/>
        </w:rPr>
        <w:t xml:space="preserve"> </w:t>
      </w:r>
      <w:r w:rsidR="00932552">
        <w:rPr>
          <w:b/>
        </w:rPr>
        <w:t xml:space="preserve">the OCHL Business Plan </w:t>
      </w:r>
      <w:r w:rsidR="00077DA4">
        <w:rPr>
          <w:b/>
        </w:rPr>
        <w:t>report</w:t>
      </w:r>
    </w:p>
    <w:p w:rsidR="00AE00D6" w:rsidRDefault="00E5126A" w:rsidP="00AE00D6">
      <w:pPr>
        <w:rPr>
          <w:rFonts w:cs="Arial"/>
          <w:b/>
        </w:rPr>
      </w:pPr>
      <w:r>
        <w:rPr>
          <w:rFonts w:cs="Arial"/>
          <w:b/>
        </w:rPr>
        <w:t>A verbal response will be p</w:t>
      </w:r>
      <w:r w:rsidR="00AE00D6">
        <w:rPr>
          <w:rFonts w:cs="Arial"/>
          <w:b/>
        </w:rPr>
        <w:t xml:space="preserve">rovided by Councillor </w:t>
      </w:r>
      <w:r w:rsidR="005C1171">
        <w:rPr>
          <w:rFonts w:cs="Arial"/>
          <w:b/>
        </w:rPr>
        <w:t>Alex Hollingsworth</w:t>
      </w:r>
      <w:r w:rsidR="00AE00D6">
        <w:rPr>
          <w:rFonts w:cs="Arial"/>
          <w:b/>
        </w:rPr>
        <w:t xml:space="preserve">, Shareholder and Joint Venture Group member with responsibility for the </w:t>
      </w:r>
      <w:r w:rsidR="005C1171">
        <w:rPr>
          <w:rFonts w:cs="Arial"/>
          <w:b/>
        </w:rPr>
        <w:t>OCHL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E00D6" w:rsidRPr="00AC577F" w:rsidTr="00EE41F2">
        <w:tc>
          <w:tcPr>
            <w:tcW w:w="6629" w:type="dxa"/>
            <w:shd w:val="clear" w:color="auto" w:fill="D9D9D9"/>
            <w:vAlign w:val="center"/>
          </w:tcPr>
          <w:p w:rsidR="00AE00D6" w:rsidRPr="00AC577F" w:rsidRDefault="00AE00D6" w:rsidP="00EE41F2">
            <w:pPr>
              <w:rPr>
                <w:rFonts w:cs="Arial"/>
                <w:b/>
                <w:i/>
              </w:rPr>
            </w:pPr>
            <w:r w:rsidRPr="00AC577F">
              <w:rPr>
                <w:rFonts w:cs="Arial"/>
                <w:b/>
                <w:i/>
              </w:rPr>
              <w:t>Recommendation</w:t>
            </w:r>
          </w:p>
        </w:tc>
        <w:tc>
          <w:tcPr>
            <w:tcW w:w="1134" w:type="dxa"/>
            <w:shd w:val="clear" w:color="auto" w:fill="D9D9D9"/>
            <w:vAlign w:val="center"/>
          </w:tcPr>
          <w:p w:rsidR="00AE00D6" w:rsidRPr="00AC577F" w:rsidRDefault="00AE00D6" w:rsidP="00EE41F2">
            <w:pPr>
              <w:rPr>
                <w:rFonts w:cs="Arial"/>
                <w:b/>
                <w:i/>
              </w:rPr>
            </w:pPr>
            <w:r w:rsidRPr="00AC577F">
              <w:rPr>
                <w:rFonts w:cs="Arial"/>
                <w:b/>
                <w:i/>
              </w:rPr>
              <w:t xml:space="preserve">Agree? </w:t>
            </w:r>
          </w:p>
        </w:tc>
        <w:tc>
          <w:tcPr>
            <w:tcW w:w="6520" w:type="dxa"/>
            <w:shd w:val="clear" w:color="auto" w:fill="D9D9D9"/>
            <w:vAlign w:val="center"/>
          </w:tcPr>
          <w:p w:rsidR="00AE00D6" w:rsidRPr="00AC577F" w:rsidRDefault="00AE00D6" w:rsidP="00EE41F2">
            <w:pPr>
              <w:rPr>
                <w:rFonts w:cs="Arial"/>
                <w:b/>
                <w:i/>
              </w:rPr>
            </w:pPr>
            <w:r w:rsidRPr="00AC577F">
              <w:rPr>
                <w:rFonts w:cs="Arial"/>
                <w:b/>
                <w:i/>
              </w:rPr>
              <w:t>Comment</w:t>
            </w:r>
          </w:p>
        </w:tc>
      </w:tr>
      <w:tr w:rsidR="001B243F" w:rsidRPr="00AC577F" w:rsidTr="00EE41F2">
        <w:trPr>
          <w:trHeight w:val="305"/>
        </w:trPr>
        <w:tc>
          <w:tcPr>
            <w:tcW w:w="6629" w:type="dxa"/>
            <w:shd w:val="clear" w:color="auto" w:fill="auto"/>
          </w:tcPr>
          <w:p w:rsidR="00077DA4" w:rsidRPr="00077DA4" w:rsidRDefault="005C1171" w:rsidP="00100767">
            <w:pPr>
              <w:numPr>
                <w:ilvl w:val="0"/>
                <w:numId w:val="49"/>
              </w:numPr>
              <w:spacing w:after="0"/>
              <w:rPr>
                <w:rFonts w:cs="Arial"/>
              </w:rPr>
            </w:pPr>
            <w:r>
              <w:rPr>
                <w:b/>
                <w:noProof/>
              </w:rPr>
              <w:t>That the Shareholder seeks the company to report back on the practicability of models through which energy efficiency measures could be funded through a partial levy made on the energy savings of tenants once it has completed discussions with existing practitioners of such models.</w:t>
            </w:r>
          </w:p>
        </w:tc>
        <w:tc>
          <w:tcPr>
            <w:tcW w:w="1134" w:type="dxa"/>
            <w:shd w:val="clear" w:color="auto" w:fill="auto"/>
          </w:tcPr>
          <w:p w:rsidR="001B243F" w:rsidRPr="00AC577F" w:rsidRDefault="001B243F" w:rsidP="00F4534B">
            <w:pPr>
              <w:rPr>
                <w:rFonts w:cs="Arial"/>
              </w:rPr>
            </w:pPr>
          </w:p>
        </w:tc>
        <w:tc>
          <w:tcPr>
            <w:tcW w:w="6520" w:type="dxa"/>
            <w:shd w:val="clear" w:color="auto" w:fill="auto"/>
          </w:tcPr>
          <w:p w:rsidR="0045640F" w:rsidRPr="00AC577F" w:rsidRDefault="0045640F" w:rsidP="0045640F">
            <w:pPr>
              <w:rPr>
                <w:rFonts w:cs="Arial"/>
              </w:rPr>
            </w:pPr>
          </w:p>
        </w:tc>
      </w:tr>
    </w:tbl>
    <w:p w:rsidR="00AE00D6" w:rsidRPr="000947DC" w:rsidRDefault="00AE00D6" w:rsidP="002F68CC">
      <w:pPr>
        <w:jc w:val="both"/>
        <w:rPr>
          <w:rFonts w:cs="Arial"/>
        </w:rPr>
      </w:pPr>
    </w:p>
    <w:sectPr w:rsidR="00AE00D6" w:rsidRPr="000947DC" w:rsidSect="00AE00D6">
      <w:headerReference w:type="first" r:id="rId12"/>
      <w:pgSz w:w="16838" w:h="11906" w:orient="landscape" w:code="9"/>
      <w:pgMar w:top="1304" w:right="1418"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31" w:rsidRDefault="00AD1D31" w:rsidP="004A6D2F">
      <w:r>
        <w:separator/>
      </w:r>
    </w:p>
  </w:endnote>
  <w:endnote w:type="continuationSeparator" w:id="0">
    <w:p w:rsidR="00AD1D31" w:rsidRDefault="00AD1D3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4A6D2F">
    <w:pPr>
      <w:pStyle w:val="Footer"/>
    </w:pPr>
    <w:r>
      <w:t>Do not use a footer or page numbers.</w:t>
    </w:r>
  </w:p>
  <w:p w:rsidR="00EE41F2" w:rsidRDefault="00EE41F2" w:rsidP="004A6D2F">
    <w:pPr>
      <w:pStyle w:val="Footer"/>
    </w:pPr>
  </w:p>
  <w:p w:rsidR="00EE41F2" w:rsidRDefault="00EE41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pPr>
      <w:pStyle w:val="Footer"/>
      <w:jc w:val="right"/>
    </w:pPr>
  </w:p>
  <w:p w:rsidR="00EE41F2" w:rsidRDefault="00EE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31" w:rsidRDefault="00AD1D31" w:rsidP="004A6D2F">
      <w:r>
        <w:separator/>
      </w:r>
    </w:p>
  </w:footnote>
  <w:footnote w:type="continuationSeparator" w:id="0">
    <w:p w:rsidR="00AD1D31" w:rsidRDefault="00AD1D3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D5547E">
    <w:pPr>
      <w:pStyle w:val="Header"/>
      <w:jc w:val="right"/>
    </w:pPr>
    <w:r>
      <w:rPr>
        <w:noProof/>
      </w:rPr>
      <w:drawing>
        <wp:inline distT="0" distB="0" distL="0" distR="0" wp14:anchorId="4EE03F51" wp14:editId="0BE9EAAF">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B474D"/>
    <w:multiLevelType w:val="hybridMultilevel"/>
    <w:tmpl w:val="958A6B72"/>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00649B"/>
    <w:multiLevelType w:val="hybridMultilevel"/>
    <w:tmpl w:val="AD58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1" w15:restartNumberingAfterBreak="0">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8365C6"/>
    <w:multiLevelType w:val="multilevel"/>
    <w:tmpl w:val="5CAE05C2"/>
    <w:lvl w:ilvl="0">
      <w:start w:val="3"/>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2"/>
  </w:num>
  <w:num w:numId="4">
    <w:abstractNumId w:val="3"/>
  </w:num>
  <w:num w:numId="5">
    <w:abstractNumId w:val="34"/>
  </w:num>
  <w:num w:numId="6">
    <w:abstractNumId w:val="20"/>
  </w:num>
  <w:num w:numId="7">
    <w:abstractNumId w:val="18"/>
  </w:num>
  <w:num w:numId="8">
    <w:abstractNumId w:val="41"/>
  </w:num>
  <w:num w:numId="9">
    <w:abstractNumId w:val="29"/>
  </w:num>
  <w:num w:numId="10">
    <w:abstractNumId w:val="15"/>
  </w:num>
  <w:num w:numId="11">
    <w:abstractNumId w:val="0"/>
  </w:num>
  <w:num w:numId="12">
    <w:abstractNumId w:val="32"/>
  </w:num>
  <w:num w:numId="13">
    <w:abstractNumId w:val="20"/>
    <w:lvlOverride w:ilvl="0">
      <w:startOverride w:val="1"/>
    </w:lvlOverride>
  </w:num>
  <w:num w:numId="14">
    <w:abstractNumId w:val="25"/>
  </w:num>
  <w:num w:numId="15">
    <w:abstractNumId w:val="42"/>
  </w:num>
  <w:num w:numId="16">
    <w:abstractNumId w:val="11"/>
  </w:num>
  <w:num w:numId="17">
    <w:abstractNumId w:val="36"/>
  </w:num>
  <w:num w:numId="18">
    <w:abstractNumId w:val="35"/>
  </w:num>
  <w:num w:numId="19">
    <w:abstractNumId w:val="8"/>
  </w:num>
  <w:num w:numId="20">
    <w:abstractNumId w:val="4"/>
  </w:num>
  <w:num w:numId="21">
    <w:abstractNumId w:val="33"/>
  </w:num>
  <w:num w:numId="22">
    <w:abstractNumId w:val="24"/>
  </w:num>
  <w:num w:numId="23">
    <w:abstractNumId w:val="5"/>
  </w:num>
  <w:num w:numId="24">
    <w:abstractNumId w:val="40"/>
  </w:num>
  <w:num w:numId="25">
    <w:abstractNumId w:val="38"/>
  </w:num>
  <w:num w:numId="26">
    <w:abstractNumId w:val="14"/>
  </w:num>
  <w:num w:numId="27">
    <w:abstractNumId w:val="28"/>
  </w:num>
  <w:num w:numId="28">
    <w:abstractNumId w:val="9"/>
  </w:num>
  <w:num w:numId="29">
    <w:abstractNumId w:val="37"/>
  </w:num>
  <w:num w:numId="30">
    <w:abstractNumId w:val="13"/>
  </w:num>
  <w:num w:numId="31">
    <w:abstractNumId w:val="17"/>
  </w:num>
  <w:num w:numId="32">
    <w:abstractNumId w:val="6"/>
  </w:num>
  <w:num w:numId="33">
    <w:abstractNumId w:val="21"/>
  </w:num>
  <w:num w:numId="34">
    <w:abstractNumId w:val="1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3"/>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6"/>
  </w:num>
  <w:num w:numId="46">
    <w:abstractNumId w:val="27"/>
  </w:num>
  <w:num w:numId="47">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22"/>
  </w:num>
  <w:num w:numId="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2AB5"/>
    <w:rsid w:val="0001586E"/>
    <w:rsid w:val="000268C8"/>
    <w:rsid w:val="000314D7"/>
    <w:rsid w:val="00032003"/>
    <w:rsid w:val="00045F8B"/>
    <w:rsid w:val="00046D2B"/>
    <w:rsid w:val="00056263"/>
    <w:rsid w:val="00063C68"/>
    <w:rsid w:val="00064D8A"/>
    <w:rsid w:val="00064F82"/>
    <w:rsid w:val="00066510"/>
    <w:rsid w:val="000667FD"/>
    <w:rsid w:val="000670D8"/>
    <w:rsid w:val="0007094D"/>
    <w:rsid w:val="00072B72"/>
    <w:rsid w:val="00075CCD"/>
    <w:rsid w:val="00077523"/>
    <w:rsid w:val="00077DA4"/>
    <w:rsid w:val="00081EE3"/>
    <w:rsid w:val="00084A07"/>
    <w:rsid w:val="00092025"/>
    <w:rsid w:val="0009427F"/>
    <w:rsid w:val="000947DC"/>
    <w:rsid w:val="000B1C69"/>
    <w:rsid w:val="000B2C57"/>
    <w:rsid w:val="000B371A"/>
    <w:rsid w:val="000C089F"/>
    <w:rsid w:val="000C3928"/>
    <w:rsid w:val="000C5E8E"/>
    <w:rsid w:val="000C7318"/>
    <w:rsid w:val="000D4345"/>
    <w:rsid w:val="000E1CFC"/>
    <w:rsid w:val="000E3620"/>
    <w:rsid w:val="000F417B"/>
    <w:rsid w:val="000F4481"/>
    <w:rsid w:val="000F4751"/>
    <w:rsid w:val="00100767"/>
    <w:rsid w:val="00101AE2"/>
    <w:rsid w:val="0010524C"/>
    <w:rsid w:val="0010763E"/>
    <w:rsid w:val="00107E75"/>
    <w:rsid w:val="00111FB1"/>
    <w:rsid w:val="00113418"/>
    <w:rsid w:val="00114C3E"/>
    <w:rsid w:val="00115F26"/>
    <w:rsid w:val="00126316"/>
    <w:rsid w:val="00133E0C"/>
    <w:rsid w:val="001356F1"/>
    <w:rsid w:val="00136994"/>
    <w:rsid w:val="0014128E"/>
    <w:rsid w:val="00146C4F"/>
    <w:rsid w:val="00151888"/>
    <w:rsid w:val="00156BFE"/>
    <w:rsid w:val="001606C2"/>
    <w:rsid w:val="00160901"/>
    <w:rsid w:val="001700CA"/>
    <w:rsid w:val="00170A2D"/>
    <w:rsid w:val="00175E59"/>
    <w:rsid w:val="001761CB"/>
    <w:rsid w:val="001808BC"/>
    <w:rsid w:val="00182B81"/>
    <w:rsid w:val="0018619D"/>
    <w:rsid w:val="00186258"/>
    <w:rsid w:val="00195B34"/>
    <w:rsid w:val="001A011E"/>
    <w:rsid w:val="001A066A"/>
    <w:rsid w:val="001A13E6"/>
    <w:rsid w:val="001A5731"/>
    <w:rsid w:val="001B243F"/>
    <w:rsid w:val="001B3EBB"/>
    <w:rsid w:val="001B42C3"/>
    <w:rsid w:val="001C3084"/>
    <w:rsid w:val="001C5D5E"/>
    <w:rsid w:val="001D4D6D"/>
    <w:rsid w:val="001D678D"/>
    <w:rsid w:val="001E03F8"/>
    <w:rsid w:val="001E1678"/>
    <w:rsid w:val="001E266B"/>
    <w:rsid w:val="001E3376"/>
    <w:rsid w:val="001F1CA8"/>
    <w:rsid w:val="001F20DE"/>
    <w:rsid w:val="001F31D2"/>
    <w:rsid w:val="002069B3"/>
    <w:rsid w:val="002162B8"/>
    <w:rsid w:val="002171F4"/>
    <w:rsid w:val="002241ED"/>
    <w:rsid w:val="002329CF"/>
    <w:rsid w:val="00232F5B"/>
    <w:rsid w:val="00247C29"/>
    <w:rsid w:val="002528D0"/>
    <w:rsid w:val="00260467"/>
    <w:rsid w:val="00262A9D"/>
    <w:rsid w:val="00263EA3"/>
    <w:rsid w:val="00264568"/>
    <w:rsid w:val="002738A2"/>
    <w:rsid w:val="00283B69"/>
    <w:rsid w:val="00284F85"/>
    <w:rsid w:val="00290915"/>
    <w:rsid w:val="002A100D"/>
    <w:rsid w:val="002A1BC8"/>
    <w:rsid w:val="002A22E2"/>
    <w:rsid w:val="002A2D09"/>
    <w:rsid w:val="002A4510"/>
    <w:rsid w:val="002C3601"/>
    <w:rsid w:val="002C64F7"/>
    <w:rsid w:val="002D053C"/>
    <w:rsid w:val="002E4361"/>
    <w:rsid w:val="002F41F2"/>
    <w:rsid w:val="002F68CC"/>
    <w:rsid w:val="00301BF3"/>
    <w:rsid w:val="0030208D"/>
    <w:rsid w:val="003035D9"/>
    <w:rsid w:val="0031573A"/>
    <w:rsid w:val="003165D8"/>
    <w:rsid w:val="00323418"/>
    <w:rsid w:val="003357BF"/>
    <w:rsid w:val="003464E1"/>
    <w:rsid w:val="00352C8B"/>
    <w:rsid w:val="00361C76"/>
    <w:rsid w:val="0036423D"/>
    <w:rsid w:val="00364FAD"/>
    <w:rsid w:val="0036738F"/>
    <w:rsid w:val="0036759C"/>
    <w:rsid w:val="00367AE5"/>
    <w:rsid w:val="00367D71"/>
    <w:rsid w:val="00370027"/>
    <w:rsid w:val="00370487"/>
    <w:rsid w:val="00373BD7"/>
    <w:rsid w:val="0038150A"/>
    <w:rsid w:val="0039194E"/>
    <w:rsid w:val="0039357B"/>
    <w:rsid w:val="00397693"/>
    <w:rsid w:val="003A26FD"/>
    <w:rsid w:val="003A5955"/>
    <w:rsid w:val="003A76C8"/>
    <w:rsid w:val="003B0980"/>
    <w:rsid w:val="003B6E75"/>
    <w:rsid w:val="003B7DA1"/>
    <w:rsid w:val="003C5012"/>
    <w:rsid w:val="003C5775"/>
    <w:rsid w:val="003D0379"/>
    <w:rsid w:val="003D1756"/>
    <w:rsid w:val="003D2574"/>
    <w:rsid w:val="003D4C59"/>
    <w:rsid w:val="003F4267"/>
    <w:rsid w:val="004007FD"/>
    <w:rsid w:val="00403734"/>
    <w:rsid w:val="00404032"/>
    <w:rsid w:val="0040736F"/>
    <w:rsid w:val="00412C1F"/>
    <w:rsid w:val="0041439C"/>
    <w:rsid w:val="0042030E"/>
    <w:rsid w:val="00420DB0"/>
    <w:rsid w:val="00421CB2"/>
    <w:rsid w:val="004268B9"/>
    <w:rsid w:val="00426D2A"/>
    <w:rsid w:val="00433B96"/>
    <w:rsid w:val="004365F8"/>
    <w:rsid w:val="004440F1"/>
    <w:rsid w:val="004456DD"/>
    <w:rsid w:val="00446CDF"/>
    <w:rsid w:val="00450474"/>
    <w:rsid w:val="004521B7"/>
    <w:rsid w:val="004548E3"/>
    <w:rsid w:val="0045640F"/>
    <w:rsid w:val="00457873"/>
    <w:rsid w:val="00462AB5"/>
    <w:rsid w:val="00463AD8"/>
    <w:rsid w:val="004653AD"/>
    <w:rsid w:val="00465EAF"/>
    <w:rsid w:val="004711FC"/>
    <w:rsid w:val="004738C5"/>
    <w:rsid w:val="00473F3E"/>
    <w:rsid w:val="00475860"/>
    <w:rsid w:val="004804B9"/>
    <w:rsid w:val="00484329"/>
    <w:rsid w:val="00487092"/>
    <w:rsid w:val="00491046"/>
    <w:rsid w:val="004962E9"/>
    <w:rsid w:val="004A043B"/>
    <w:rsid w:val="004A27B5"/>
    <w:rsid w:val="004A2AC7"/>
    <w:rsid w:val="004A3E93"/>
    <w:rsid w:val="004A6D2F"/>
    <w:rsid w:val="004B1835"/>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34D9C"/>
    <w:rsid w:val="00540323"/>
    <w:rsid w:val="005427A0"/>
    <w:rsid w:val="0054712D"/>
    <w:rsid w:val="00547EF6"/>
    <w:rsid w:val="00550211"/>
    <w:rsid w:val="00552930"/>
    <w:rsid w:val="00554C9B"/>
    <w:rsid w:val="005570B5"/>
    <w:rsid w:val="00560AC5"/>
    <w:rsid w:val="00566E73"/>
    <w:rsid w:val="00567E18"/>
    <w:rsid w:val="0057130A"/>
    <w:rsid w:val="00573264"/>
    <w:rsid w:val="00574982"/>
    <w:rsid w:val="00575235"/>
    <w:rsid w:val="00575F5F"/>
    <w:rsid w:val="005807BA"/>
    <w:rsid w:val="00581805"/>
    <w:rsid w:val="00585F76"/>
    <w:rsid w:val="00591686"/>
    <w:rsid w:val="005A10AD"/>
    <w:rsid w:val="005A34E4"/>
    <w:rsid w:val="005A60D1"/>
    <w:rsid w:val="005B17F2"/>
    <w:rsid w:val="005B195B"/>
    <w:rsid w:val="005B7FB0"/>
    <w:rsid w:val="005C1171"/>
    <w:rsid w:val="005C35A5"/>
    <w:rsid w:val="005C577C"/>
    <w:rsid w:val="005C7E85"/>
    <w:rsid w:val="005D0621"/>
    <w:rsid w:val="005D1E27"/>
    <w:rsid w:val="005D2A3E"/>
    <w:rsid w:val="005E022E"/>
    <w:rsid w:val="005E342D"/>
    <w:rsid w:val="005E38FD"/>
    <w:rsid w:val="005E5215"/>
    <w:rsid w:val="005F3F9E"/>
    <w:rsid w:val="005F7F7E"/>
    <w:rsid w:val="006057AC"/>
    <w:rsid w:val="00607D7C"/>
    <w:rsid w:val="00614693"/>
    <w:rsid w:val="00623609"/>
    <w:rsid w:val="00623C2F"/>
    <w:rsid w:val="00627066"/>
    <w:rsid w:val="00632937"/>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C7C6C"/>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26A03"/>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B0C2C"/>
    <w:rsid w:val="007B18DF"/>
    <w:rsid w:val="007B278E"/>
    <w:rsid w:val="007C0DE5"/>
    <w:rsid w:val="007C160C"/>
    <w:rsid w:val="007C365E"/>
    <w:rsid w:val="007C5C23"/>
    <w:rsid w:val="007D4D44"/>
    <w:rsid w:val="007E2A26"/>
    <w:rsid w:val="007E4CEC"/>
    <w:rsid w:val="007F2348"/>
    <w:rsid w:val="00803F07"/>
    <w:rsid w:val="008042E9"/>
    <w:rsid w:val="00805D25"/>
    <w:rsid w:val="0080749A"/>
    <w:rsid w:val="0081127D"/>
    <w:rsid w:val="008139D7"/>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C6EB7"/>
    <w:rsid w:val="008D10B0"/>
    <w:rsid w:val="008D11F4"/>
    <w:rsid w:val="008D3DDB"/>
    <w:rsid w:val="008D77E2"/>
    <w:rsid w:val="008E78E1"/>
    <w:rsid w:val="008F261E"/>
    <w:rsid w:val="008F573F"/>
    <w:rsid w:val="008F70A7"/>
    <w:rsid w:val="008F7CC4"/>
    <w:rsid w:val="009034EC"/>
    <w:rsid w:val="00907C06"/>
    <w:rsid w:val="00922669"/>
    <w:rsid w:val="00927573"/>
    <w:rsid w:val="0093067A"/>
    <w:rsid w:val="00932552"/>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84A"/>
    <w:rsid w:val="00A21B12"/>
    <w:rsid w:val="00A232EB"/>
    <w:rsid w:val="00A23F80"/>
    <w:rsid w:val="00A3024F"/>
    <w:rsid w:val="00A37A61"/>
    <w:rsid w:val="00A4234D"/>
    <w:rsid w:val="00A423BF"/>
    <w:rsid w:val="00A464C4"/>
    <w:rsid w:val="00A46E98"/>
    <w:rsid w:val="00A56561"/>
    <w:rsid w:val="00A566D0"/>
    <w:rsid w:val="00A6352B"/>
    <w:rsid w:val="00A642B2"/>
    <w:rsid w:val="00A6491A"/>
    <w:rsid w:val="00A701B5"/>
    <w:rsid w:val="00A714BB"/>
    <w:rsid w:val="00A7422B"/>
    <w:rsid w:val="00A7466F"/>
    <w:rsid w:val="00A77147"/>
    <w:rsid w:val="00A810FC"/>
    <w:rsid w:val="00A83FC9"/>
    <w:rsid w:val="00A84706"/>
    <w:rsid w:val="00A84925"/>
    <w:rsid w:val="00A9198A"/>
    <w:rsid w:val="00A92D8F"/>
    <w:rsid w:val="00A955E7"/>
    <w:rsid w:val="00AA170E"/>
    <w:rsid w:val="00AB2988"/>
    <w:rsid w:val="00AB4DB4"/>
    <w:rsid w:val="00AB5546"/>
    <w:rsid w:val="00AB5D12"/>
    <w:rsid w:val="00AB7999"/>
    <w:rsid w:val="00AC3EAA"/>
    <w:rsid w:val="00AD182A"/>
    <w:rsid w:val="00AD1D31"/>
    <w:rsid w:val="00AD3292"/>
    <w:rsid w:val="00AD651C"/>
    <w:rsid w:val="00AE00D6"/>
    <w:rsid w:val="00AE50BE"/>
    <w:rsid w:val="00AE6397"/>
    <w:rsid w:val="00AE7AF0"/>
    <w:rsid w:val="00AF1F30"/>
    <w:rsid w:val="00AF5B39"/>
    <w:rsid w:val="00AF5F80"/>
    <w:rsid w:val="00AF62B4"/>
    <w:rsid w:val="00B02023"/>
    <w:rsid w:val="00B044C6"/>
    <w:rsid w:val="00B076EC"/>
    <w:rsid w:val="00B1504F"/>
    <w:rsid w:val="00B31F0C"/>
    <w:rsid w:val="00B3365D"/>
    <w:rsid w:val="00B350A9"/>
    <w:rsid w:val="00B35A1F"/>
    <w:rsid w:val="00B500CA"/>
    <w:rsid w:val="00B53D92"/>
    <w:rsid w:val="00B5531B"/>
    <w:rsid w:val="00B61BAC"/>
    <w:rsid w:val="00B620EE"/>
    <w:rsid w:val="00B72DE8"/>
    <w:rsid w:val="00B85C2F"/>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64E9"/>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1FF1"/>
    <w:rsid w:val="00C63BC2"/>
    <w:rsid w:val="00C63C31"/>
    <w:rsid w:val="00C72C3C"/>
    <w:rsid w:val="00C7349D"/>
    <w:rsid w:val="00C757A0"/>
    <w:rsid w:val="00C760DE"/>
    <w:rsid w:val="00C82630"/>
    <w:rsid w:val="00C82AC0"/>
    <w:rsid w:val="00C85B4E"/>
    <w:rsid w:val="00C907F7"/>
    <w:rsid w:val="00C926A1"/>
    <w:rsid w:val="00C92729"/>
    <w:rsid w:val="00C93CF6"/>
    <w:rsid w:val="00CA2103"/>
    <w:rsid w:val="00CB6B99"/>
    <w:rsid w:val="00CC68B0"/>
    <w:rsid w:val="00CD6438"/>
    <w:rsid w:val="00CE4C87"/>
    <w:rsid w:val="00CE544A"/>
    <w:rsid w:val="00D0204E"/>
    <w:rsid w:val="00D04CB0"/>
    <w:rsid w:val="00D11E1C"/>
    <w:rsid w:val="00D12FA3"/>
    <w:rsid w:val="00D15BBF"/>
    <w:rsid w:val="00D160B0"/>
    <w:rsid w:val="00D17F94"/>
    <w:rsid w:val="00D20A1A"/>
    <w:rsid w:val="00D223FC"/>
    <w:rsid w:val="00D23D3A"/>
    <w:rsid w:val="00D26D1E"/>
    <w:rsid w:val="00D27868"/>
    <w:rsid w:val="00D44449"/>
    <w:rsid w:val="00D460CD"/>
    <w:rsid w:val="00D474CF"/>
    <w:rsid w:val="00D5547E"/>
    <w:rsid w:val="00D664D2"/>
    <w:rsid w:val="00D66F19"/>
    <w:rsid w:val="00D777C2"/>
    <w:rsid w:val="00D843C3"/>
    <w:rsid w:val="00D869A1"/>
    <w:rsid w:val="00D9276D"/>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20D1"/>
    <w:rsid w:val="00DD22FC"/>
    <w:rsid w:val="00DE0FB2"/>
    <w:rsid w:val="00DE12F5"/>
    <w:rsid w:val="00DE52C0"/>
    <w:rsid w:val="00DF093E"/>
    <w:rsid w:val="00E01F42"/>
    <w:rsid w:val="00E13656"/>
    <w:rsid w:val="00E17C83"/>
    <w:rsid w:val="00E206D6"/>
    <w:rsid w:val="00E21747"/>
    <w:rsid w:val="00E256BE"/>
    <w:rsid w:val="00E30EF2"/>
    <w:rsid w:val="00E3318B"/>
    <w:rsid w:val="00E3366E"/>
    <w:rsid w:val="00E34794"/>
    <w:rsid w:val="00E4653D"/>
    <w:rsid w:val="00E5126A"/>
    <w:rsid w:val="00E52086"/>
    <w:rsid w:val="00E543A6"/>
    <w:rsid w:val="00E60479"/>
    <w:rsid w:val="00E608D5"/>
    <w:rsid w:val="00E61656"/>
    <w:rsid w:val="00E61D73"/>
    <w:rsid w:val="00E66993"/>
    <w:rsid w:val="00E73684"/>
    <w:rsid w:val="00E818D6"/>
    <w:rsid w:val="00E87F7A"/>
    <w:rsid w:val="00E96BD7"/>
    <w:rsid w:val="00EA0DB1"/>
    <w:rsid w:val="00EA0EE9"/>
    <w:rsid w:val="00EA1336"/>
    <w:rsid w:val="00EA29B5"/>
    <w:rsid w:val="00EB7D34"/>
    <w:rsid w:val="00EC1A61"/>
    <w:rsid w:val="00ED52CA"/>
    <w:rsid w:val="00ED5860"/>
    <w:rsid w:val="00EE00E3"/>
    <w:rsid w:val="00EE1528"/>
    <w:rsid w:val="00EE35C9"/>
    <w:rsid w:val="00EE36FD"/>
    <w:rsid w:val="00EE41F2"/>
    <w:rsid w:val="00EF43CD"/>
    <w:rsid w:val="00F05ECA"/>
    <w:rsid w:val="00F0637E"/>
    <w:rsid w:val="00F11964"/>
    <w:rsid w:val="00F12BCD"/>
    <w:rsid w:val="00F13EB5"/>
    <w:rsid w:val="00F229B8"/>
    <w:rsid w:val="00F2657D"/>
    <w:rsid w:val="00F3566E"/>
    <w:rsid w:val="00F375FB"/>
    <w:rsid w:val="00F41AC1"/>
    <w:rsid w:val="00F4367A"/>
    <w:rsid w:val="00F445B1"/>
    <w:rsid w:val="00F45CD4"/>
    <w:rsid w:val="00F537FC"/>
    <w:rsid w:val="00F6217F"/>
    <w:rsid w:val="00F66DCA"/>
    <w:rsid w:val="00F73D39"/>
    <w:rsid w:val="00F74F53"/>
    <w:rsid w:val="00F7606D"/>
    <w:rsid w:val="00F81670"/>
    <w:rsid w:val="00F82024"/>
    <w:rsid w:val="00F8225B"/>
    <w:rsid w:val="00F84CEE"/>
    <w:rsid w:val="00F90123"/>
    <w:rsid w:val="00F937BE"/>
    <w:rsid w:val="00F95BC9"/>
    <w:rsid w:val="00F972F7"/>
    <w:rsid w:val="00FA165B"/>
    <w:rsid w:val="00FA3091"/>
    <w:rsid w:val="00FA624C"/>
    <w:rsid w:val="00FB2B61"/>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D08D544-AF1C-48DA-9B72-7EF739D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583979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dson@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96F5-1C6A-4DA6-B0DC-975F8EBA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E51031EA</Template>
  <TotalTime>1</TotalTime>
  <Pages>4</Pages>
  <Words>782</Words>
  <Characters>4238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cphythian</dc:creator>
  <cp:lastModifiedBy>HUDSON Tom</cp:lastModifiedBy>
  <cp:revision>2</cp:revision>
  <cp:lastPrinted>2019-08-28T11:12:00Z</cp:lastPrinted>
  <dcterms:created xsi:type="dcterms:W3CDTF">2020-12-16T14:25:00Z</dcterms:created>
  <dcterms:modified xsi:type="dcterms:W3CDTF">2020-12-16T14:25:00Z</dcterms:modified>
</cp:coreProperties>
</file>